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1BC1" w14:textId="77777777" w:rsidR="00000000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hyperlink r:id="rId4" w:history="1">
        <w:r>
          <w:rPr>
            <w:color w:val="106BBE"/>
            <w:u w:val="single"/>
          </w:rPr>
          <w:t>Письмо Министерства строительства и жилищно-коммунального хозяйства РФ от 13 декабря 2023 г. N 33841-ОГ/09 О письме Минстроя РФ от 18 октября 2023 г. N 64206-АВ/09 по вопросу изменения (увеличения) цены контракта в связи с удорожанием в 2021 - 2022 годах цен на строительные ресурсы</w:t>
        </w:r>
      </w:hyperlink>
    </w:p>
    <w:p w14:paraId="250F8E83" w14:textId="77777777" w:rsidR="00000000" w:rsidRDefault="00000000">
      <w:pPr>
        <w:suppressAutoHyphens/>
        <w:ind w:firstLine="720"/>
        <w:jc w:val="both"/>
      </w:pPr>
    </w:p>
    <w:p w14:paraId="60DAF16F" w14:textId="77777777" w:rsidR="00000000" w:rsidRDefault="00000000">
      <w:pPr>
        <w:suppressAutoHyphens/>
        <w:ind w:firstLine="720"/>
        <w:jc w:val="both"/>
      </w:pPr>
      <w:r>
        <w:t xml:space="preserve">Департамент ценообразования и ресурсного обеспечения строительства Минстроя России (далее - Департамент), рассмотрев Ваше обращение по вопросу о содержании ответа Минстроя России, содержащегося в </w:t>
      </w:r>
      <w:hyperlink r:id="rId5" w:history="1">
        <w:r>
          <w:rPr>
            <w:color w:val="106BBE"/>
            <w:u w:val="single"/>
          </w:rPr>
          <w:t>письме</w:t>
        </w:r>
      </w:hyperlink>
      <w:r>
        <w:t xml:space="preserve"> от 18 октября 2023 г. N 64206-АВ/09 по вопросу изменения (увеличения) цены контракта в связи с удорожанием в 2021 - 2022 годах цен на строительные ресурсы, поступившее письмами Аппарата Правительства Российской Федерации от 16 ноября 2023 г. N 74265-П49, ФАС России от 28 ноября 2023 г. N 28/100181/23, от 21 ноября 2023 г. N 271210, в пределах своей компетенции сообщает следующее.</w:t>
      </w:r>
    </w:p>
    <w:p w14:paraId="4A6D11DB" w14:textId="77777777" w:rsidR="00000000" w:rsidRDefault="00000000">
      <w:pPr>
        <w:suppressAutoHyphens/>
        <w:ind w:firstLine="720"/>
        <w:jc w:val="both"/>
      </w:pPr>
      <w:r>
        <w:t xml:space="preserve">В силу положений </w:t>
      </w:r>
      <w:hyperlink r:id="rId6" w:history="1">
        <w:r>
          <w:rPr>
            <w:color w:val="106BBE"/>
            <w:u w:val="single"/>
          </w:rPr>
          <w:t>статей 7</w:t>
        </w:r>
      </w:hyperlink>
      <w:r>
        <w:t xml:space="preserve"> и </w:t>
      </w:r>
      <w:hyperlink r:id="rId7" w:history="1">
        <w:r>
          <w:rPr>
            <w:color w:val="106BBE"/>
            <w:u w:val="single"/>
          </w:rPr>
          <w:t>10</w:t>
        </w:r>
      </w:hyperlink>
      <w:r>
        <w:t xml:space="preserve"> Федерального закона от 2 мая 2006 г. N 59-ФЗ "О порядке рассмотрения обращений граждан Российской Федерации" государственный орган обеспечивает объективное, всестороннее и своевременное рассмотрение обращения, дает письменный ответ по существу поставленных в обращении вопросов и направляет его заявителю на почтовый адрес, указанному в обращении.</w:t>
      </w:r>
    </w:p>
    <w:p w14:paraId="5552D2ED" w14:textId="77777777" w:rsidR="00000000" w:rsidRDefault="00000000">
      <w:pPr>
        <w:suppressAutoHyphens/>
        <w:ind w:firstLine="720"/>
        <w:jc w:val="both"/>
      </w:pPr>
      <w:hyperlink r:id="rId8" w:history="1">
        <w:r>
          <w:rPr>
            <w:color w:val="106BBE"/>
            <w:u w:val="single"/>
          </w:rPr>
          <w:t>Письмо</w:t>
        </w:r>
      </w:hyperlink>
      <w:r>
        <w:t xml:space="preserve"> Минстроя России от 18 октября 2023 г. N 64206-АВ/09 содержит информацию о применении положений </w:t>
      </w:r>
      <w:hyperlink r:id="rId9" w:history="1">
        <w:r>
          <w:rPr>
            <w:color w:val="106BBE"/>
            <w:u w:val="single"/>
          </w:rPr>
          <w:t>постановления</w:t>
        </w:r>
      </w:hyperlink>
      <w:r>
        <w:t xml:space="preserve"> Правительства Российской Федерации от 9 августа 2021 г. N 1315 "О внесении изменений в некоторые акты Правительства Российской Федерации" (далее - Постановление N 1315) и </w:t>
      </w:r>
      <w:hyperlink r:id="rId10" w:history="1">
        <w:r>
          <w:rPr>
            <w:color w:val="106BBE"/>
            <w:u w:val="single"/>
          </w:rPr>
          <w:t>Методики</w:t>
        </w:r>
      </w:hyperlink>
      <w:r>
        <w:t xml:space="preserve"> составления сметы контракта, предметом которого являются строительство, реконструкция объектов капитального строительства, утвержденной </w:t>
      </w:r>
      <w:hyperlink r:id="rId11" w:history="1">
        <w:r>
          <w:rPr>
            <w:color w:val="106BBE"/>
            <w:u w:val="single"/>
          </w:rPr>
          <w:t>приказом</w:t>
        </w:r>
      </w:hyperlink>
      <w:r>
        <w:t xml:space="preserve"> Минстроя России от 23 декабря 2019 г. N 841/пр (далее соответственно - Приказ N 841/пр, Методика N 841/пр), по существу конкретного вопроса, поставленного заявителем в его обращении.</w:t>
      </w:r>
    </w:p>
    <w:p w14:paraId="6572BC2A" w14:textId="77777777" w:rsidR="00000000" w:rsidRDefault="00000000">
      <w:pPr>
        <w:suppressAutoHyphens/>
        <w:ind w:firstLine="720"/>
        <w:jc w:val="both"/>
      </w:pPr>
      <w:r>
        <w:t xml:space="preserve">Информация, по соответствующему конкретному вопросу заявителя, содержащаяся в рассматриваемом </w:t>
      </w:r>
      <w:hyperlink r:id="rId12" w:history="1">
        <w:r>
          <w:rPr>
            <w:color w:val="106BBE"/>
            <w:u w:val="single"/>
          </w:rPr>
          <w:t>письме</w:t>
        </w:r>
      </w:hyperlink>
      <w:r>
        <w:t xml:space="preserve"> Минстроя России, не противоречит </w:t>
      </w:r>
      <w:hyperlink r:id="rId13" w:history="1">
        <w:r>
          <w:rPr>
            <w:color w:val="106BBE"/>
            <w:u w:val="single"/>
          </w:rPr>
          <w:t>Постановлению</w:t>
        </w:r>
      </w:hyperlink>
      <w:r>
        <w:t xml:space="preserve"> N 1315 и </w:t>
      </w:r>
      <w:hyperlink r:id="rId14" w:history="1">
        <w:r>
          <w:rPr>
            <w:color w:val="106BBE"/>
            <w:u w:val="single"/>
          </w:rPr>
          <w:t>Приказу</w:t>
        </w:r>
      </w:hyperlink>
      <w:r>
        <w:t xml:space="preserve"> N 841/пр. При этом указанное письмо Минстроя России было направлено в ответ на обращение заявителя, которым Вы не являетесь, в связи с чем оснований для раскрытия его содержания не усматривается.</w:t>
      </w:r>
    </w:p>
    <w:p w14:paraId="7DA990F0" w14:textId="77777777" w:rsidR="00000000" w:rsidRDefault="00000000">
      <w:pPr>
        <w:suppressAutoHyphens/>
        <w:ind w:firstLine="720"/>
        <w:jc w:val="both"/>
      </w:pPr>
      <w:r>
        <w:t xml:space="preserve">Одновременно, </w:t>
      </w:r>
      <w:hyperlink r:id="rId15" w:history="1">
        <w:r>
          <w:rPr>
            <w:color w:val="106BBE"/>
            <w:u w:val="single"/>
          </w:rPr>
          <w:t>письмо</w:t>
        </w:r>
      </w:hyperlink>
      <w:r>
        <w:t xml:space="preserve"> Минстроя России от 18 октября 2023 г. N 64206-АВ/09 не содержит правовых норм или общих правил, конкретизирующих нормативные предписания и не направлено на установление, изменение или отмену правовых норм, не является нормативным актом вне зависимости от того, дано ли разъяснение конкретному заявителю либо неопределенному кругу лиц, а также не подлежит подготовке и регистрации в соответствии с </w:t>
      </w:r>
      <w:hyperlink r:id="rId16" w:history="1">
        <w:r>
          <w:rPr>
            <w:color w:val="106BBE"/>
            <w:u w:val="single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установленными </w:t>
      </w:r>
      <w:hyperlink r:id="rId17" w:history="1">
        <w:r>
          <w:rPr>
            <w:color w:val="106BBE"/>
            <w:u w:val="single"/>
          </w:rPr>
          <w:t>постановлением</w:t>
        </w:r>
      </w:hyperlink>
      <w:r>
        <w:t xml:space="preserve"> Правительства Российской Федерации от 13 августа 1997 г. N 1009 (далее - Правила N 1009). Кроме того, указанное письмо Минстроя России, в том числе в соответствии с Правилами N 1009, Минстроем России не публиковалось.</w:t>
      </w:r>
    </w:p>
    <w:p w14:paraId="6D2A46CA" w14:textId="77777777" w:rsidR="00000000" w:rsidRDefault="00000000">
      <w:pPr>
        <w:suppressAutoHyphens/>
        <w:ind w:firstLine="720"/>
        <w:jc w:val="both"/>
      </w:pPr>
      <w:r>
        <w:t>Вместе с тем по существу вопроса, поставленного в Вашем обращении, Департамент считает возможным сообщить следующее.</w:t>
      </w:r>
    </w:p>
    <w:p w14:paraId="09EA9A1D" w14:textId="77777777" w:rsidR="00000000" w:rsidRDefault="00000000">
      <w:pPr>
        <w:suppressAutoHyphens/>
        <w:ind w:firstLine="720"/>
        <w:jc w:val="both"/>
      </w:pPr>
      <w:r>
        <w:t xml:space="preserve">Положениями </w:t>
      </w:r>
      <w:hyperlink r:id="rId18" w:history="1">
        <w:r>
          <w:rPr>
            <w:color w:val="106BBE"/>
            <w:u w:val="single"/>
          </w:rPr>
          <w:t>Постановления</w:t>
        </w:r>
      </w:hyperlink>
      <w:r>
        <w:t xml:space="preserve"> N 1315 в соответствии с </w:t>
      </w:r>
      <w:hyperlink r:id="rId19" w:history="1">
        <w:r>
          <w:rPr>
            <w:color w:val="106BBE"/>
            <w:u w:val="single"/>
          </w:rPr>
          <w:t>пунктом 8 части 1 статьи 95</w:t>
        </w:r>
      </w:hyperlink>
      <w:r>
        <w:t xml:space="preserve"> и </w:t>
      </w:r>
      <w:hyperlink r:id="rId20" w:history="1">
        <w:r>
          <w:rPr>
            <w:color w:val="106BBE"/>
            <w:u w:val="single"/>
          </w:rPr>
          <w:t>частью 70 статьи 112</w:t>
        </w:r>
      </w:hyperlink>
      <w: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(далее - Закон N 44-ФЗ) установлена возможность изменения существенных условий контракта, предметом которого является выполнение работ по </w:t>
      </w:r>
      <w:r>
        <w:lastRenderedPageBreak/>
        <w:t>строительству, реконструкции, капитальному ремонту, сносу объектов капитального строительства, проведению работ по сохранению объектов культурного наследия в связи с существенным увеличением в 2021 и 2022 годах цен на строительные ресурсы при условии, если контракт заключен до 31 декабря 2022 года и обязательства по нему на дату заключения соглашения об изменении условий контракта не исполнены.</w:t>
      </w:r>
    </w:p>
    <w:p w14:paraId="0826FF37" w14:textId="77777777" w:rsidR="00000000" w:rsidRDefault="00000000">
      <w:pPr>
        <w:suppressAutoHyphens/>
        <w:ind w:firstLine="720"/>
        <w:jc w:val="both"/>
      </w:pPr>
      <w:r>
        <w:t xml:space="preserve">Пересчет цены таких контрактов в соответствии с </w:t>
      </w:r>
      <w:hyperlink r:id="rId21" w:history="1">
        <w:r>
          <w:rPr>
            <w:color w:val="106BBE"/>
            <w:u w:val="single"/>
          </w:rPr>
          <w:t>Постановлением</w:t>
        </w:r>
      </w:hyperlink>
      <w:r>
        <w:t xml:space="preserve"> N 1315 может быть осуществлен в течение 2023 года.</w:t>
      </w:r>
    </w:p>
    <w:p w14:paraId="5B1988B1" w14:textId="77777777" w:rsidR="00000000" w:rsidRDefault="00000000">
      <w:pPr>
        <w:suppressAutoHyphens/>
        <w:ind w:firstLine="720"/>
        <w:jc w:val="both"/>
      </w:pPr>
      <w:r>
        <w:t xml:space="preserve">Порядок изменения (увеличения) цены контракта на основании </w:t>
      </w:r>
      <w:hyperlink r:id="rId22" w:history="1">
        <w:r>
          <w:rPr>
            <w:color w:val="106BBE"/>
            <w:u w:val="single"/>
          </w:rPr>
          <w:t>Постановления</w:t>
        </w:r>
      </w:hyperlink>
      <w:r>
        <w:t xml:space="preserve"> N 1315 установлен </w:t>
      </w:r>
      <w:hyperlink r:id="rId23" w:history="1">
        <w:r>
          <w:rPr>
            <w:color w:val="106BBE"/>
            <w:u w:val="single"/>
          </w:rPr>
          <w:t>пунктами 14</w:t>
        </w:r>
      </w:hyperlink>
      <w:r>
        <w:t xml:space="preserve">, </w:t>
      </w:r>
      <w:hyperlink r:id="rId24" w:history="1">
        <w:r>
          <w:rPr>
            <w:color w:val="106BBE"/>
            <w:u w:val="single"/>
          </w:rPr>
          <w:t>14.1 - 14.6</w:t>
        </w:r>
      </w:hyperlink>
      <w:r>
        <w:t xml:space="preserve"> Методики N 841/пр.</w:t>
      </w:r>
    </w:p>
    <w:p w14:paraId="7D9DD27A" w14:textId="77777777" w:rsidR="00000000" w:rsidRDefault="00000000">
      <w:pPr>
        <w:suppressAutoHyphens/>
        <w:ind w:firstLine="720"/>
        <w:jc w:val="both"/>
      </w:pPr>
      <w:r>
        <w:t xml:space="preserve">Согласно </w:t>
      </w:r>
      <w:hyperlink r:id="rId25" w:history="1">
        <w:r>
          <w:rPr>
            <w:color w:val="106BBE"/>
            <w:u w:val="single"/>
          </w:rPr>
          <w:t>пункту 14.2</w:t>
        </w:r>
      </w:hyperlink>
      <w:r>
        <w:t xml:space="preserve"> Методики N 841/пр осуществляется расчет коэффициента корректировки цены контракта (К</w:t>
      </w:r>
      <w:r>
        <w:rPr>
          <w:vertAlign w:val="subscript"/>
        </w:rPr>
        <w:t> кор</w:t>
      </w:r>
      <w:r>
        <w:t>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контракта.</w:t>
      </w:r>
    </w:p>
    <w:p w14:paraId="2AA08CE8" w14:textId="77777777" w:rsidR="00000000" w:rsidRDefault="00000000">
      <w:pPr>
        <w:suppressAutoHyphens/>
        <w:ind w:firstLine="720"/>
        <w:jc w:val="both"/>
      </w:pPr>
      <w:r>
        <w:t>Коэффициент корректировки цены контракта (К</w:t>
      </w:r>
      <w:r>
        <w:rPr>
          <w:vertAlign w:val="subscript"/>
        </w:rPr>
        <w:t> кор</w:t>
      </w:r>
      <w:r>
        <w:t>) распространяется на остатки работ, подлежащих выполнению в рамках исполнения контракта.</w:t>
      </w:r>
    </w:p>
    <w:p w14:paraId="6C4A5A0C" w14:textId="77777777" w:rsidR="00000000" w:rsidRDefault="00000000">
      <w:pPr>
        <w:suppressAutoHyphens/>
        <w:ind w:firstLine="720"/>
        <w:jc w:val="both"/>
      </w:pPr>
      <w:r>
        <w:t>Стоимость работ, выполненных подрядчиком и оплаченных заказчиком в 2021 - 2022 годах до даты выполнения расчета, а также стоимость работ, выполненных подрядчиком и оплаченных заказчиком от даты выполнения расчета до даты заключения дополнительного соглашения об изменении цены контракта, подлежит корректировке.</w:t>
      </w:r>
    </w:p>
    <w:p w14:paraId="7B6D8048" w14:textId="77777777" w:rsidR="00000000" w:rsidRDefault="00000000">
      <w:pPr>
        <w:suppressAutoHyphens/>
        <w:ind w:firstLine="720"/>
        <w:jc w:val="both"/>
      </w:pPr>
      <w:r>
        <w:t xml:space="preserve">Одновременно следует обратить внимание, что </w:t>
      </w:r>
      <w:hyperlink r:id="rId26" w:history="1">
        <w:r>
          <w:rPr>
            <w:color w:val="106BBE"/>
            <w:u w:val="single"/>
          </w:rPr>
          <w:t>Постановление</w:t>
        </w:r>
      </w:hyperlink>
      <w:r>
        <w:t xml:space="preserve"> N 1315 издано в целях принятия оперативных антикризисных мер для обеспечения поддержки подрядных организаций в связи с существенным удорожанием строительных ресурсов: установлено право подрядчика обосновать удорожание строительных ресурсов, которое невозможно было предвидеть при заключении контракта, и оперативно обратиться к заказчику с целью изменения существенных условий контракта, а заказчику - право рассмотреть предложение подрядчика и по соглашению сторон изменить такие существенные условия контракта.</w:t>
      </w:r>
    </w:p>
    <w:p w14:paraId="32DF4929" w14:textId="77777777" w:rsidR="00000000" w:rsidRDefault="00000000">
      <w:pPr>
        <w:suppressAutoHyphens/>
        <w:ind w:firstLine="720"/>
        <w:jc w:val="both"/>
      </w:pPr>
      <w:r>
        <w:t xml:space="preserve">Таким образом, </w:t>
      </w:r>
      <w:hyperlink r:id="rId27" w:history="1">
        <w:r>
          <w:rPr>
            <w:color w:val="106BBE"/>
            <w:u w:val="single"/>
          </w:rPr>
          <w:t>Методика</w:t>
        </w:r>
      </w:hyperlink>
      <w:r>
        <w:t xml:space="preserve"> N 841/пр содержит положения о пересчете:</w:t>
      </w:r>
    </w:p>
    <w:p w14:paraId="3B067F3D" w14:textId="77777777" w:rsidR="00000000" w:rsidRDefault="00000000">
      <w:pPr>
        <w:suppressAutoHyphens/>
        <w:ind w:firstLine="720"/>
        <w:jc w:val="both"/>
      </w:pPr>
      <w:r>
        <w:t>- остатков работ, подлежащих выполнению в рамках исполнения контракта;</w:t>
      </w:r>
    </w:p>
    <w:p w14:paraId="034C1CBB" w14:textId="77777777" w:rsidR="00000000" w:rsidRDefault="00000000">
      <w:pPr>
        <w:suppressAutoHyphens/>
        <w:ind w:firstLine="720"/>
        <w:jc w:val="both"/>
      </w:pPr>
      <w:r>
        <w:t>- работ, выполненных подрядчиком и оплаченных заказчиком в 2021 - 2022 годах до даты выполнения расчета;</w:t>
      </w:r>
    </w:p>
    <w:p w14:paraId="19F6F60C" w14:textId="77777777" w:rsidR="00000000" w:rsidRDefault="00000000">
      <w:pPr>
        <w:suppressAutoHyphens/>
        <w:ind w:firstLine="720"/>
        <w:jc w:val="both"/>
      </w:pPr>
      <w:r>
        <w:t>- работ, выполненных подрядчиком и оплаченных заказчиком от даты выполнения расчета до даты заключения дополнительного соглашения об изменении цены контракта.</w:t>
      </w:r>
    </w:p>
    <w:p w14:paraId="3249E21C" w14:textId="77777777" w:rsidR="00000000" w:rsidRDefault="00000000">
      <w:pPr>
        <w:suppressAutoHyphens/>
        <w:ind w:firstLine="720"/>
        <w:jc w:val="both"/>
      </w:pPr>
      <w:r>
        <w:t xml:space="preserve">При этом изменение стоимости работ, выполненных подрядчиком и оплаченных заказчиком с 1 января 2023 года до даты представления расчета (если такой расчет представлен в 2023 году), положениями </w:t>
      </w:r>
      <w:hyperlink r:id="rId28" w:history="1">
        <w:r>
          <w:rPr>
            <w:color w:val="106BBE"/>
            <w:u w:val="single"/>
          </w:rPr>
          <w:t>Методики</w:t>
        </w:r>
      </w:hyperlink>
      <w:r>
        <w:t xml:space="preserve"> N 841/пр не предусмотрено.</w:t>
      </w:r>
    </w:p>
    <w:p w14:paraId="57741C0B" w14:textId="77777777" w:rsidR="00000000" w:rsidRDefault="00000000">
      <w:pPr>
        <w:suppressAutoHyphens/>
        <w:ind w:firstLine="720"/>
        <w:jc w:val="both"/>
      </w:pPr>
      <w:r>
        <w:t xml:space="preserve">Дополнительно Департамент сообщает, что на основании </w:t>
      </w:r>
      <w:hyperlink r:id="rId29" w:history="1">
        <w:r>
          <w:rPr>
            <w:color w:val="106BBE"/>
            <w:u w:val="single"/>
          </w:rPr>
          <w:t>части 65</w:t>
        </w:r>
      </w:hyperlink>
      <w:hyperlink r:id="rId30" w:history="1">
        <w:r>
          <w:rPr>
            <w:color w:val="106BBE"/>
            <w:u w:val="single"/>
            <w:vertAlign w:val="superscript"/>
          </w:rPr>
          <w:t> 1</w:t>
        </w:r>
      </w:hyperlink>
      <w:hyperlink r:id="rId31" w:history="1">
        <w:r>
          <w:rPr>
            <w:color w:val="106BBE"/>
            <w:u w:val="single"/>
          </w:rPr>
          <w:t xml:space="preserve"> статьи 112</w:t>
        </w:r>
      </w:hyperlink>
      <w:r>
        <w:t xml:space="preserve"> Закона N 44-ФЗ по соглашению сторон допускается изменение существенных условий контракта, заключенного до 1 января 2024 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14:paraId="1C64C3F7" w14:textId="77777777" w:rsidR="00000000" w:rsidRDefault="00000000">
      <w:pPr>
        <w:suppressAutoHyphens/>
        <w:ind w:firstLine="720"/>
        <w:jc w:val="both"/>
      </w:pPr>
      <w:r>
        <w:t xml:space="preserve">Предусмотренное </w:t>
      </w:r>
      <w:hyperlink r:id="rId32" w:history="1">
        <w:r>
          <w:rPr>
            <w:color w:val="106BBE"/>
            <w:u w:val="single"/>
          </w:rPr>
          <w:t>частью 65</w:t>
        </w:r>
      </w:hyperlink>
      <w:hyperlink r:id="rId33" w:history="1">
        <w:r>
          <w:rPr>
            <w:color w:val="106BBE"/>
            <w:u w:val="single"/>
            <w:vertAlign w:val="superscript"/>
          </w:rPr>
          <w:t> 1</w:t>
        </w:r>
      </w:hyperlink>
      <w:hyperlink r:id="rId34" w:history="1">
        <w:r>
          <w:rPr>
            <w:color w:val="106BBE"/>
            <w:u w:val="single"/>
          </w:rPr>
          <w:t xml:space="preserve"> статьи 112</w:t>
        </w:r>
      </w:hyperlink>
      <w:r>
        <w:t xml:space="preserve"> Закона N 44-ФЗ изменение осуществляется с соблюдением положений </w:t>
      </w:r>
      <w:hyperlink r:id="rId35" w:history="1">
        <w:r>
          <w:rPr>
            <w:color w:val="106BBE"/>
            <w:u w:val="single"/>
          </w:rPr>
          <w:t>частей 1</w:t>
        </w:r>
      </w:hyperlink>
      <w:hyperlink r:id="rId36" w:history="1">
        <w:r>
          <w:rPr>
            <w:color w:val="106BBE"/>
            <w:u w:val="single"/>
            <w:vertAlign w:val="superscript"/>
          </w:rPr>
          <w:t> 3</w:t>
        </w:r>
      </w:hyperlink>
      <w:hyperlink r:id="rId37" w:history="1">
        <w:r>
          <w:rPr>
            <w:color w:val="106BBE"/>
            <w:u w:val="single"/>
          </w:rPr>
          <w:t xml:space="preserve"> - 1</w:t>
        </w:r>
      </w:hyperlink>
      <w:hyperlink r:id="rId38" w:history="1">
        <w:r>
          <w:rPr>
            <w:color w:val="106BBE"/>
            <w:u w:val="single"/>
          </w:rPr>
          <w:t> 6</w:t>
        </w:r>
      </w:hyperlink>
      <w:hyperlink r:id="rId39" w:history="1">
        <w:r>
          <w:rPr>
            <w:color w:val="106BBE"/>
            <w:u w:val="single"/>
          </w:rPr>
          <w:t xml:space="preserve"> статьи 95</w:t>
        </w:r>
      </w:hyperlink>
      <w:r>
        <w:t xml:space="preserve"> Закона N 44-ФЗ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</w:t>
      </w:r>
    </w:p>
    <w:p w14:paraId="60BE98C5" w14:textId="77777777" w:rsidR="00000000" w:rsidRDefault="00000000">
      <w:pPr>
        <w:suppressAutoHyphens/>
        <w:ind w:firstLine="720"/>
        <w:jc w:val="both"/>
      </w:pPr>
      <w:r>
        <w:t xml:space="preserve">Таким образом, по мнению Департамента, в случае если обстоятельства, возникшие при исполнении конкретного контракта, не могут быть урегулированы сторонами на основании положений </w:t>
      </w:r>
      <w:hyperlink r:id="rId40" w:history="1">
        <w:r>
          <w:rPr>
            <w:color w:val="106BBE"/>
            <w:u w:val="single"/>
          </w:rPr>
          <w:t>Постановления</w:t>
        </w:r>
      </w:hyperlink>
      <w:r>
        <w:t xml:space="preserve"> N 1315 и положений </w:t>
      </w:r>
      <w:hyperlink r:id="rId41" w:history="1">
        <w:r>
          <w:rPr>
            <w:color w:val="106BBE"/>
            <w:u w:val="single"/>
          </w:rPr>
          <w:t>Методики</w:t>
        </w:r>
      </w:hyperlink>
      <w:r>
        <w:t xml:space="preserve"> N 841/пр, установленных в реализацию положений Постановления N 1315, то изменение существенных </w:t>
      </w:r>
      <w:r>
        <w:lastRenderedPageBreak/>
        <w:t xml:space="preserve">условий такого контракта может осуществлено на основании </w:t>
      </w:r>
      <w:hyperlink r:id="rId42" w:history="1">
        <w:r>
          <w:rPr>
            <w:color w:val="106BBE"/>
            <w:u w:val="single"/>
          </w:rPr>
          <w:t>части 65</w:t>
        </w:r>
      </w:hyperlink>
      <w:hyperlink r:id="rId43" w:history="1">
        <w:r>
          <w:rPr>
            <w:color w:val="106BBE"/>
            <w:u w:val="single"/>
            <w:vertAlign w:val="superscript"/>
          </w:rPr>
          <w:t> 1</w:t>
        </w:r>
      </w:hyperlink>
      <w:hyperlink r:id="rId44" w:history="1">
        <w:r>
          <w:rPr>
            <w:color w:val="106BBE"/>
            <w:u w:val="single"/>
          </w:rPr>
          <w:t xml:space="preserve"> статьи 112</w:t>
        </w:r>
      </w:hyperlink>
      <w:r>
        <w:t xml:space="preserve"> Закона N 44-ФЗ, позволяющие при наличии предусмотренного данной нормой решения изменить любые существенные условия любого контракта, заключенного до 1 января 2024 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14:paraId="0AF7A6B2" w14:textId="77777777" w:rsidR="00000000" w:rsidRDefault="00000000">
      <w:pPr>
        <w:suppressAutoHyphens/>
        <w:ind w:firstLine="720"/>
        <w:jc w:val="both"/>
      </w:pPr>
      <w:r>
        <w:t>При этом вопросы применения законодательства Российской Федерации и иных нормативных правовых актов о контрактной системе в сфере закупок, а также вопросы о правомерности действий (бездействия) участников контрактной системы, в том числе при изменении существенных условий контракта, не отнесены к полномочиям Минстроя России.</w:t>
      </w:r>
    </w:p>
    <w:p w14:paraId="59C2A812" w14:textId="77777777" w:rsidR="00000000" w:rsidRDefault="00000000">
      <w:pPr>
        <w:suppressAutoHyphens/>
        <w:ind w:firstLine="720"/>
        <w:jc w:val="both"/>
      </w:pP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(</w:t>
      </w:r>
      <w:hyperlink r:id="rId45" w:history="1">
        <w:r>
          <w:rPr>
            <w:color w:val="106BBE"/>
            <w:u w:val="single"/>
          </w:rPr>
          <w:t>постановление</w:t>
        </w:r>
      </w:hyperlink>
      <w:r>
        <w:t xml:space="preserve"> Правительства Российской Федерации от 30 июня 2004 г. N 329), является Минфин России.</w:t>
      </w:r>
    </w:p>
    <w:p w14:paraId="1BB6973A" w14:textId="77777777" w:rsidR="00000000" w:rsidRDefault="00000000">
      <w:pPr>
        <w:suppressAutoHyphens/>
        <w:ind w:firstLine="720"/>
        <w:jc w:val="both"/>
      </w:pPr>
      <w:r>
        <w:t xml:space="preserve">Функции по контролю (надзору) в части соблюдения требований к исполнению, изменению контракта в соответствии с </w:t>
      </w:r>
      <w:hyperlink r:id="rId46" w:history="1">
        <w:r>
          <w:rPr>
            <w:color w:val="106BBE"/>
            <w:u w:val="single"/>
          </w:rPr>
          <w:t>пунктом 5 части 8 статьи 99</w:t>
        </w:r>
      </w:hyperlink>
      <w:r>
        <w:t xml:space="preserve"> Закона N 44-ФЗ осуществляются органами внутреннего государственного (муниципального) финансового контроля (при осуществлении закупок для обеспечения федеральных нужд - Федеральным казначейством).</w:t>
      </w:r>
    </w:p>
    <w:p w14:paraId="46D459FF" w14:textId="77777777" w:rsidR="00000000" w:rsidRDefault="00000000">
      <w:pPr>
        <w:suppressAutoHyphens/>
        <w:ind w:firstLine="720"/>
        <w:jc w:val="both"/>
      </w:pPr>
      <w:r>
        <w:t>Учитывая изложенное, в целях всестороннего рассмотрения указанного вопроса Департамент считает целесообразным дополнительно обратиться в Минфин России и Федеральное казначейство.</w:t>
      </w:r>
    </w:p>
    <w:p w14:paraId="5B8D61E1" w14:textId="77777777" w:rsidR="00000000" w:rsidRDefault="00000000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000000" w14:paraId="54767D40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59F0D133" w14:textId="77777777" w:rsidR="00000000" w:rsidRDefault="00000000">
            <w:pPr>
              <w:suppressAutoHyphens/>
            </w:pPr>
            <w:r>
              <w:t>Директор Департамента ценообразования</w:t>
            </w:r>
            <w:r>
              <w:br/>
              <w:t>и ресурсного обеспечения строительства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069670EA" w14:textId="77777777" w:rsidR="00000000" w:rsidRDefault="00000000">
            <w:pPr>
              <w:suppressAutoHyphens/>
              <w:jc w:val="right"/>
            </w:pPr>
            <w:r>
              <w:t>А.П. Вилков</w:t>
            </w:r>
          </w:p>
        </w:tc>
      </w:tr>
    </w:tbl>
    <w:p w14:paraId="60AFDB96" w14:textId="77777777" w:rsidR="007117C0" w:rsidRDefault="007117C0">
      <w:pPr>
        <w:suppressAutoHyphens/>
        <w:ind w:firstLine="720"/>
        <w:jc w:val="both"/>
      </w:pPr>
    </w:p>
    <w:sectPr w:rsidR="007117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5C"/>
    <w:rsid w:val="007117C0"/>
    <w:rsid w:val="00C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9BA1B"/>
  <w14:defaultImageDpi w14:val="0"/>
  <w15:docId w15:val="{B0BF0F52-8CC5-47B5-B9EA-D12A631D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7933053/0" TargetMode="External"/><Relationship Id="rId13" Type="http://schemas.openxmlformats.org/officeDocument/2006/relationships/hyperlink" Target="http://ivo.garant.ru/document/redirect/402110814/0" TargetMode="External"/><Relationship Id="rId18" Type="http://schemas.openxmlformats.org/officeDocument/2006/relationships/hyperlink" Target="http://ivo.garant.ru/document/redirect/402110814/0" TargetMode="External"/><Relationship Id="rId26" Type="http://schemas.openxmlformats.org/officeDocument/2006/relationships/hyperlink" Target="http://ivo.garant.ru/document/redirect/402110814/0" TargetMode="External"/><Relationship Id="rId39" Type="http://schemas.openxmlformats.org/officeDocument/2006/relationships/hyperlink" Target="http://ivo.garant.ru/document/redirect/70353464/951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/redirect/402110814/0" TargetMode="External"/><Relationship Id="rId34" Type="http://schemas.openxmlformats.org/officeDocument/2006/relationships/hyperlink" Target="http://ivo.garant.ru/document/redirect/70353464/1126501" TargetMode="External"/><Relationship Id="rId42" Type="http://schemas.openxmlformats.org/officeDocument/2006/relationships/hyperlink" Target="http://ivo.garant.ru/document/redirect/70353464/112650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vo.garant.ru/document/redirect/12146661/10" TargetMode="External"/><Relationship Id="rId12" Type="http://schemas.openxmlformats.org/officeDocument/2006/relationships/hyperlink" Target="http://ivo.garant.ru/document/redirect/407933053/0" TargetMode="External"/><Relationship Id="rId17" Type="http://schemas.openxmlformats.org/officeDocument/2006/relationships/hyperlink" Target="http://ivo.garant.ru/document/redirect/166045/0" TargetMode="External"/><Relationship Id="rId25" Type="http://schemas.openxmlformats.org/officeDocument/2006/relationships/hyperlink" Target="http://ivo.garant.ru/document/redirect/73502465/20142" TargetMode="External"/><Relationship Id="rId33" Type="http://schemas.openxmlformats.org/officeDocument/2006/relationships/hyperlink" Target="http://ivo.garant.ru/document/redirect/70353464/1126501" TargetMode="External"/><Relationship Id="rId38" Type="http://schemas.openxmlformats.org/officeDocument/2006/relationships/hyperlink" Target="http://ivo.garant.ru/document/redirect/70353464/95103" TargetMode="External"/><Relationship Id="rId46" Type="http://schemas.openxmlformats.org/officeDocument/2006/relationships/hyperlink" Target="http://ivo.garant.ru/document/redirect/70353464/99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166045/1000" TargetMode="External"/><Relationship Id="rId20" Type="http://schemas.openxmlformats.org/officeDocument/2006/relationships/hyperlink" Target="http://ivo.garant.ru/document/redirect/70353464/11270" TargetMode="External"/><Relationship Id="rId29" Type="http://schemas.openxmlformats.org/officeDocument/2006/relationships/hyperlink" Target="http://ivo.garant.ru/document/redirect/70353464/1126501" TargetMode="External"/><Relationship Id="rId41" Type="http://schemas.openxmlformats.org/officeDocument/2006/relationships/hyperlink" Target="http://ivo.garant.ru/document/redirect/73502465/2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46661/7" TargetMode="External"/><Relationship Id="rId11" Type="http://schemas.openxmlformats.org/officeDocument/2006/relationships/hyperlink" Target="http://ivo.garant.ru/document/redirect/73502465/0" TargetMode="External"/><Relationship Id="rId24" Type="http://schemas.openxmlformats.org/officeDocument/2006/relationships/hyperlink" Target="http://ivo.garant.ru/document/redirect/73502465/20141" TargetMode="External"/><Relationship Id="rId32" Type="http://schemas.openxmlformats.org/officeDocument/2006/relationships/hyperlink" Target="http://ivo.garant.ru/document/redirect/70353464/1126501" TargetMode="External"/><Relationship Id="rId37" Type="http://schemas.openxmlformats.org/officeDocument/2006/relationships/hyperlink" Target="http://ivo.garant.ru/document/redirect/70353464/95103" TargetMode="External"/><Relationship Id="rId40" Type="http://schemas.openxmlformats.org/officeDocument/2006/relationships/hyperlink" Target="http://ivo.garant.ru/document/redirect/402110814/0" TargetMode="External"/><Relationship Id="rId45" Type="http://schemas.openxmlformats.org/officeDocument/2006/relationships/hyperlink" Target="http://ivo.garant.ru/document/redirect/12136348/0" TargetMode="External"/><Relationship Id="rId5" Type="http://schemas.openxmlformats.org/officeDocument/2006/relationships/hyperlink" Target="http://ivo.garant.ru/document/redirect/407933053/0" TargetMode="External"/><Relationship Id="rId15" Type="http://schemas.openxmlformats.org/officeDocument/2006/relationships/hyperlink" Target="http://ivo.garant.ru/document/redirect/407933053/0" TargetMode="External"/><Relationship Id="rId23" Type="http://schemas.openxmlformats.org/officeDocument/2006/relationships/hyperlink" Target="http://ivo.garant.ru/document/redirect/73502465/2014" TargetMode="External"/><Relationship Id="rId28" Type="http://schemas.openxmlformats.org/officeDocument/2006/relationships/hyperlink" Target="http://ivo.garant.ru/document/redirect/73502465/2000" TargetMode="External"/><Relationship Id="rId36" Type="http://schemas.openxmlformats.org/officeDocument/2006/relationships/hyperlink" Target="http://ivo.garant.ru/document/redirect/70353464/95103" TargetMode="External"/><Relationship Id="rId10" Type="http://schemas.openxmlformats.org/officeDocument/2006/relationships/hyperlink" Target="http://ivo.garant.ru/document/redirect/73502465/2000" TargetMode="External"/><Relationship Id="rId19" Type="http://schemas.openxmlformats.org/officeDocument/2006/relationships/hyperlink" Target="http://ivo.garant.ru/document/redirect/70353464/95018" TargetMode="External"/><Relationship Id="rId31" Type="http://schemas.openxmlformats.org/officeDocument/2006/relationships/hyperlink" Target="http://ivo.garant.ru/document/redirect/70353464/1126501" TargetMode="External"/><Relationship Id="rId44" Type="http://schemas.openxmlformats.org/officeDocument/2006/relationships/hyperlink" Target="http://ivo.garant.ru/document/redirect/70353464/1126501" TargetMode="External"/><Relationship Id="rId4" Type="http://schemas.openxmlformats.org/officeDocument/2006/relationships/hyperlink" Target="http://ivo.garant.ru/document/redirect/408210803/0" TargetMode="External"/><Relationship Id="rId9" Type="http://schemas.openxmlformats.org/officeDocument/2006/relationships/hyperlink" Target="http://ivo.garant.ru/document/redirect/402110814/0" TargetMode="External"/><Relationship Id="rId14" Type="http://schemas.openxmlformats.org/officeDocument/2006/relationships/hyperlink" Target="http://ivo.garant.ru/document/redirect/73502465/0" TargetMode="External"/><Relationship Id="rId22" Type="http://schemas.openxmlformats.org/officeDocument/2006/relationships/hyperlink" Target="http://ivo.garant.ru/document/redirect/402110814/0" TargetMode="External"/><Relationship Id="rId27" Type="http://schemas.openxmlformats.org/officeDocument/2006/relationships/hyperlink" Target="http://ivo.garant.ru/document/redirect/73502465/2000" TargetMode="External"/><Relationship Id="rId30" Type="http://schemas.openxmlformats.org/officeDocument/2006/relationships/hyperlink" Target="http://ivo.garant.ru/document/redirect/70353464/1126501" TargetMode="External"/><Relationship Id="rId35" Type="http://schemas.openxmlformats.org/officeDocument/2006/relationships/hyperlink" Target="http://ivo.garant.ru/document/redirect/70353464/95103" TargetMode="External"/><Relationship Id="rId43" Type="http://schemas.openxmlformats.org/officeDocument/2006/relationships/hyperlink" Target="http://ivo.garant.ru/document/redirect/70353464/112650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Ryazanov</dc:creator>
  <cp:keywords/>
  <dc:description/>
  <cp:lastModifiedBy>Ivan Ryazanov</cp:lastModifiedBy>
  <cp:revision>2</cp:revision>
  <dcterms:created xsi:type="dcterms:W3CDTF">2023-12-21T08:28:00Z</dcterms:created>
  <dcterms:modified xsi:type="dcterms:W3CDTF">2023-12-21T08:28:00Z</dcterms:modified>
</cp:coreProperties>
</file>